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Lehrerbildung vermittelt allen Lehrkräften erziehungs- und </w:t>
      </w:r>
      <w:proofErr w:type="spellStart"/>
      <w:proofErr w:type="gramStart"/>
      <w:r w:rsidRPr="00BC25CF">
        <w:rPr>
          <w:rStyle w:val="A3"/>
          <w:sz w:val="22"/>
          <w:szCs w:val="22"/>
        </w:rPr>
        <w:t>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proofErr w:type="spellEnd"/>
      <w:r w:rsidR="000C0C69">
        <w:rPr>
          <w:rStyle w:val="A3"/>
          <w:sz w:val="22"/>
          <w:szCs w:val="22"/>
        </w:rPr>
        <w:softHyphen/>
      </w:r>
      <w:proofErr w:type="gramEnd"/>
      <w:r w:rsidR="000C0C69">
        <w:rPr>
          <w:rStyle w:val="A3"/>
          <w:sz w:val="22"/>
          <w:szCs w:val="22"/>
        </w:rPr>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w:t>
      </w:r>
      <w:proofErr w:type="spellStart"/>
      <w:r w:rsidRPr="00BC25CF">
        <w:rPr>
          <w:rStyle w:val="A3"/>
          <w:b/>
          <w:bCs/>
          <w:i/>
          <w:iCs/>
          <w:sz w:val="22"/>
          <w:szCs w:val="22"/>
        </w:rPr>
        <w:t>HLbGDV</w:t>
      </w:r>
      <w:proofErr w:type="spellEnd"/>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w:t>
      </w:r>
      <w:proofErr w:type="spellStart"/>
      <w:r w:rsidR="00BC25CF" w:rsidRPr="00BC25CF">
        <w:rPr>
          <w:rStyle w:val="A3"/>
          <w:b/>
          <w:bCs/>
          <w:i/>
          <w:iCs/>
          <w:sz w:val="22"/>
          <w:szCs w:val="22"/>
        </w:rPr>
        <w:t>HLbG</w:t>
      </w:r>
      <w:proofErr w:type="spellEnd"/>
      <w:r w:rsidR="00BC25CF" w:rsidRPr="00BC25CF">
        <w:rPr>
          <w:rStyle w:val="A3"/>
          <w:b/>
          <w:bCs/>
          <w:i/>
          <w:iCs/>
          <w:sz w:val="22"/>
          <w:szCs w:val="22"/>
        </w:rPr>
        <w:t>)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 xml:space="preserve">„Sehr </w:t>
      </w:r>
      <w:proofErr w:type="spellStart"/>
      <w:r w:rsidRPr="00BC25CF">
        <w:rPr>
          <w:rStyle w:val="A3"/>
          <w:sz w:val="22"/>
          <w:szCs w:val="22"/>
        </w:rPr>
        <w:t>Gut</w:t>
      </w:r>
      <w:proofErr w:type="spellEnd"/>
      <w:r w:rsidRPr="00BC25CF">
        <w:rPr>
          <w:rStyle w:val="A3"/>
          <w:sz w:val="22"/>
          <w:szCs w:val="22"/>
        </w:rPr>
        <w: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50A37"/>
    <w:rsid w:val="003110A7"/>
    <w:rsid w:val="00406F9E"/>
    <w:rsid w:val="00550F05"/>
    <w:rsid w:val="005A1A5D"/>
    <w:rsid w:val="006D070C"/>
    <w:rsid w:val="009672A7"/>
    <w:rsid w:val="009D478C"/>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5D46-57F8-47B9-9113-1611BFFC4FE3}"/>
</file>

<file path=customXml/itemProps2.xml><?xml version="1.0" encoding="utf-8"?>
<ds:datastoreItem xmlns:ds="http://schemas.openxmlformats.org/officeDocument/2006/customXml" ds:itemID="{369E4C5B-3573-484D-AB45-3BB45029A736}"/>
</file>

<file path=customXml/itemProps3.xml><?xml version="1.0" encoding="utf-8"?>
<ds:datastoreItem xmlns:ds="http://schemas.openxmlformats.org/officeDocument/2006/customXml" ds:itemID="{3603CFBA-5E8F-4193-8768-BE223FF6EBE6}"/>
</file>

<file path=customXml/itemProps4.xml><?xml version="1.0" encoding="utf-8"?>
<ds:datastoreItem xmlns:ds="http://schemas.openxmlformats.org/officeDocument/2006/customXml" ds:itemID="{F6F40EC0-FA7A-42B7-B87F-D321D026E056}"/>
</file>

<file path=docProps/app.xml><?xml version="1.0" encoding="utf-8"?>
<Properties xmlns="http://schemas.openxmlformats.org/officeDocument/2006/extended-properties" xmlns:vt="http://schemas.openxmlformats.org/officeDocument/2006/docPropsVTypes">
  <Template>498791A9.dotm</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Rindfuß, Walter (LSA GG)</cp:lastModifiedBy>
  <cp:revision>4</cp:revision>
  <cp:lastPrinted>2013-01-21T10:05:00Z</cp:lastPrinted>
  <dcterms:created xsi:type="dcterms:W3CDTF">2013-11-15T07:50:00Z</dcterms:created>
  <dcterms:modified xsi:type="dcterms:W3CDTF">2015-05-18T13:24:00Z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